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50" w:type="dxa"/>
        <w:tblCellSpacing w:w="15" w:type="dxa"/>
        <w:tblCellMar>
          <w:top w:w="15" w:type="dxa"/>
          <w:left w:w="15" w:type="dxa"/>
          <w:bottom w:w="15" w:type="dxa"/>
          <w:right w:w="15" w:type="dxa"/>
        </w:tblCellMar>
        <w:tblLook w:val="04A0"/>
      </w:tblPr>
      <w:tblGrid>
        <w:gridCol w:w="435"/>
        <w:gridCol w:w="1815"/>
      </w:tblGrid>
      <w:tr w:rsidR="00611F9D" w:rsidRPr="00611F9D" w:rsidTr="00611F9D">
        <w:trPr>
          <w:tblCellSpacing w:w="15" w:type="dxa"/>
        </w:trPr>
        <w:tc>
          <w:tcPr>
            <w:tcW w:w="300"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5" w:history="1">
              <w:r w:rsidR="00611F9D" w:rsidRPr="00611F9D">
                <w:rPr>
                  <w:rFonts w:ascii="Times New Roman" w:eastAsia="Times New Roman" w:hAnsi="Times New Roman" w:cs="Times New Roman"/>
                  <w:b/>
                  <w:bCs/>
                  <w:color w:val="C5C6C7"/>
                  <w:sz w:val="26"/>
                  <w:szCs w:val="26"/>
                  <w:lang w:eastAsia="tr-TR"/>
                </w:rPr>
                <w:t>Oturum Aç</w:t>
              </w:r>
            </w:hyperlink>
          </w:p>
        </w:tc>
      </w:tr>
    </w:tbl>
    <w:p w:rsidR="00611F9D" w:rsidRPr="00611F9D" w:rsidRDefault="00611F9D" w:rsidP="00611F9D">
      <w:pPr>
        <w:shd w:val="clear" w:color="auto" w:fill="E6E6E6"/>
        <w:spacing w:after="100" w:line="300" w:lineRule="atLeast"/>
        <w:rPr>
          <w:rFonts w:ascii="Arial" w:eastAsia="Times New Roman" w:hAnsi="Arial" w:cs="Arial"/>
          <w:color w:val="1C283D"/>
          <w:sz w:val="15"/>
          <w:szCs w:val="15"/>
          <w:lang w:eastAsia="tr-TR"/>
        </w:rPr>
      </w:pPr>
      <w:r w:rsidRPr="00611F9D">
        <w:rPr>
          <w:rFonts w:ascii="Arial" w:eastAsia="Times New Roman" w:hAnsi="Arial" w:cs="Arial"/>
          <w:noProof/>
          <w:color w:val="800080"/>
          <w:sz w:val="15"/>
          <w:szCs w:val="15"/>
          <w:lang w:eastAsia="tr-TR"/>
        </w:rPr>
        <w:drawing>
          <wp:inline distT="0" distB="0" distL="0" distR="0">
            <wp:extent cx="9525" cy="9525"/>
            <wp:effectExtent l="0" t="0" r="0" b="0"/>
            <wp:docPr id="2" name="Resim 2" descr="Skip Navigation Lin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6"/>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611F9D" w:rsidRPr="00611F9D" w:rsidTr="00611F9D">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952"/>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8" w:history="1">
                    <w:r w:rsidR="00611F9D" w:rsidRPr="00611F9D">
                      <w:rPr>
                        <w:rFonts w:ascii="Arial" w:eastAsia="Times New Roman" w:hAnsi="Arial" w:cs="Arial"/>
                        <w:color w:val="800080"/>
                        <w:sz w:val="15"/>
                        <w:szCs w:val="15"/>
                        <w:u w:val="single"/>
                        <w:lang w:eastAsia="tr-TR"/>
                      </w:rPr>
                      <w:t>ANASAYFA</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325"/>
              <w:gridCol w:w="375"/>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9" w:history="1">
                    <w:r w:rsidR="00611F9D" w:rsidRPr="00611F9D">
                      <w:rPr>
                        <w:rFonts w:ascii="Arial" w:eastAsia="Times New Roman" w:hAnsi="Arial" w:cs="Arial"/>
                        <w:color w:val="800080"/>
                        <w:sz w:val="15"/>
                        <w:szCs w:val="15"/>
                        <w:u w:val="single"/>
                        <w:lang w:eastAsia="tr-TR"/>
                      </w:rPr>
                      <w:t>MEVZUAT TÜRÜ</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267"/>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1" w:history="1">
                    <w:r w:rsidR="00611F9D" w:rsidRPr="00611F9D">
                      <w:rPr>
                        <w:rFonts w:ascii="Arial" w:eastAsia="Times New Roman" w:hAnsi="Arial" w:cs="Arial"/>
                        <w:color w:val="800080"/>
                        <w:sz w:val="15"/>
                        <w:szCs w:val="15"/>
                        <w:u w:val="single"/>
                        <w:lang w:eastAsia="tr-TR"/>
                      </w:rPr>
                      <w:t>RESMİ GAZETE</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2210"/>
              <w:gridCol w:w="375"/>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2" w:history="1">
                    <w:r w:rsidR="00611F9D" w:rsidRPr="00611F9D">
                      <w:rPr>
                        <w:rFonts w:ascii="Arial" w:eastAsia="Times New Roman" w:hAnsi="Arial" w:cs="Arial"/>
                        <w:color w:val="800080"/>
                        <w:sz w:val="15"/>
                        <w:szCs w:val="15"/>
                        <w:u w:val="single"/>
                        <w:lang w:eastAsia="tr-TR"/>
                      </w:rPr>
                      <w:t>SIK KULLANILAN KANUNLAR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634"/>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3" w:history="1">
                    <w:r w:rsidR="00611F9D" w:rsidRPr="00611F9D">
                      <w:rPr>
                        <w:rFonts w:ascii="Arial" w:eastAsia="Times New Roman" w:hAnsi="Arial" w:cs="Arial"/>
                        <w:color w:val="800080"/>
                        <w:sz w:val="15"/>
                        <w:szCs w:val="15"/>
                        <w:u w:val="single"/>
                        <w:lang w:eastAsia="tr-TR"/>
                      </w:rPr>
                      <w:t>KANUNLAR FİHRİSTİ</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443"/>
              <w:gridCol w:w="375"/>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4" w:history="1">
                    <w:r w:rsidR="00611F9D" w:rsidRPr="00611F9D">
                      <w:rPr>
                        <w:rFonts w:ascii="Arial" w:eastAsia="Times New Roman" w:hAnsi="Arial" w:cs="Arial"/>
                        <w:color w:val="800080"/>
                        <w:sz w:val="15"/>
                        <w:szCs w:val="15"/>
                        <w:u w:val="single"/>
                        <w:lang w:eastAsia="tr-TR"/>
                      </w:rPr>
                      <w:t>FAYDALI LİNKLER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1067"/>
              <w:gridCol w:w="375"/>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5" w:history="1">
                    <w:r w:rsidR="00611F9D" w:rsidRPr="00611F9D">
                      <w:rPr>
                        <w:rFonts w:ascii="Arial" w:eastAsia="Times New Roman" w:hAnsi="Arial" w:cs="Arial"/>
                        <w:color w:val="800080"/>
                        <w:sz w:val="15"/>
                        <w:szCs w:val="15"/>
                        <w:u w:val="single"/>
                        <w:lang w:eastAsia="tr-TR"/>
                      </w:rPr>
                      <w:t>HAKKIMIZDA</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tblPr>
            <w:tblGrid>
              <w:gridCol w:w="776"/>
            </w:tblGrid>
            <w:tr w:rsidR="00611F9D" w:rsidRPr="00611F9D">
              <w:trPr>
                <w:tblCellSpacing w:w="0" w:type="dxa"/>
              </w:trPr>
              <w:tc>
                <w:tcPr>
                  <w:tcW w:w="0" w:type="auto"/>
                  <w:noWrap/>
                  <w:vAlign w:val="center"/>
                  <w:hideMark/>
                </w:tcPr>
                <w:p w:rsidR="00611F9D" w:rsidRPr="00611F9D" w:rsidRDefault="00DD5F53" w:rsidP="00611F9D">
                  <w:pPr>
                    <w:spacing w:after="0" w:line="240" w:lineRule="auto"/>
                    <w:rPr>
                      <w:rFonts w:ascii="Times New Roman" w:eastAsia="Times New Roman" w:hAnsi="Times New Roman" w:cs="Times New Roman"/>
                      <w:sz w:val="24"/>
                      <w:szCs w:val="24"/>
                      <w:lang w:eastAsia="tr-TR"/>
                    </w:rPr>
                  </w:pPr>
                  <w:hyperlink r:id="rId16" w:history="1">
                    <w:r w:rsidR="00611F9D" w:rsidRPr="00611F9D">
                      <w:rPr>
                        <w:rFonts w:ascii="Arial" w:eastAsia="Times New Roman" w:hAnsi="Arial" w:cs="Arial"/>
                        <w:color w:val="800080"/>
                        <w:sz w:val="15"/>
                        <w:szCs w:val="15"/>
                        <w:u w:val="single"/>
                        <w:lang w:eastAsia="tr-TR"/>
                      </w:rPr>
                      <w:t>İLETİŞİM</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r>
      <w:tr w:rsidR="00611F9D" w:rsidRPr="00611F9D" w:rsidTr="00611F9D">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tblPr>
            <w:tblGrid>
              <w:gridCol w:w="9065"/>
            </w:tblGrid>
            <w:tr w:rsidR="00611F9D" w:rsidRPr="00611F9D">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75"/>
                  </w:tblGrid>
                  <w:tr w:rsidR="00611F9D" w:rsidRPr="00611F9D">
                    <w:trPr>
                      <w:tblCellSpacing w:w="0" w:type="dxa"/>
                      <w:jc w:val="center"/>
                    </w:trPr>
                    <w:tc>
                      <w:tcPr>
                        <w:tcW w:w="0" w:type="auto"/>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Lucida Sans Unicode" w:eastAsia="Times New Roman" w:hAnsi="Lucida Sans Unicode" w:cs="Lucida Sans Unicode"/>
                            <w:noProof/>
                            <w:color w:val="000000"/>
                            <w:sz w:val="15"/>
                            <w:szCs w:val="15"/>
                            <w:lang w:eastAsia="tr-TR"/>
                          </w:rPr>
                          <w:lastRenderedPageBreak/>
                          <w:drawing>
                            <wp:inline distT="0" distB="0" distL="0" distR="0">
                              <wp:extent cx="304800" cy="304800"/>
                              <wp:effectExtent l="0" t="0" r="0" b="0"/>
                              <wp:docPr id="7" name="Resim 7" descr="Yazdı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2"/>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Pr="00611F9D">
                          <w:rPr>
                            <w:rFonts w:ascii="Times New Roman" w:eastAsia="Times New Roman" w:hAnsi="Times New Roman" w:cs="Times New Roman"/>
                            <w:sz w:val="24"/>
                            <w:szCs w:val="24"/>
                            <w:lang w:eastAsia="tr-TR"/>
                          </w:rPr>
                          <w:t> </w:t>
                        </w:r>
                      </w:p>
                    </w:tc>
                  </w:tr>
                </w:tbl>
                <w:p w:rsidR="00611F9D" w:rsidRPr="00611F9D" w:rsidRDefault="00611F9D" w:rsidP="00611F9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tblPr>
                  <w:tblGrid>
                    <w:gridCol w:w="8975"/>
                  </w:tblGrid>
                  <w:tr w:rsidR="00611F9D" w:rsidRPr="00611F9D">
                    <w:trPr>
                      <w:tblCellSpacing w:w="15" w:type="dxa"/>
                      <w:jc w:val="center"/>
                    </w:trPr>
                    <w:tc>
                      <w:tcPr>
                        <w:tcW w:w="0" w:type="auto"/>
                        <w:vAlign w:val="center"/>
                        <w:hideMark/>
                      </w:tcPr>
                      <w:p w:rsidR="00611F9D" w:rsidRPr="00611F9D" w:rsidRDefault="00611F9D" w:rsidP="00611F9D">
                        <w:pPr>
                          <w:spacing w:after="24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Resmi Gazete Tarihi: 29.12.2012 Resmi Gazete Sayısı: 28512</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SAĞLIĞI VE GÜVENLİĞİ HİZMETLERİ YÖNETMELİĞİ</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BİRİNCİ BÖLÜM</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 Kapsam, Dayanak ve Tanımlar</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 –</w:t>
                        </w:r>
                        <w:r w:rsidRPr="00611F9D">
                          <w:rPr>
                            <w:rFonts w:ascii="Calibri" w:eastAsia="Times New Roman" w:hAnsi="Calibri" w:cs="Calibri"/>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Kapsam</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20/6/2012</w:t>
                        </w:r>
                        <w:proofErr w:type="gramEnd"/>
                        <w:r w:rsidRPr="00611F9D">
                          <w:rPr>
                            <w:rFonts w:ascii="Calibri" w:eastAsia="Times New Roman" w:hAnsi="Calibri" w:cs="Calibri"/>
                            <w:lang w:eastAsia="tr-TR"/>
                          </w:rPr>
                          <w:t xml:space="preserve"> tarihli ve 6331 sayılı İş Sağlığı ve Güvenliği Kanunu kapsamında yer alan işyerlerini kapsar.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Dayanak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3 –</w:t>
                        </w:r>
                        <w:r w:rsidRPr="00611F9D">
                          <w:rPr>
                            <w:rFonts w:ascii="Calibri" w:eastAsia="Times New Roman" w:hAnsi="Calibri" w:cs="Calibri"/>
                            <w:lang w:eastAsia="tr-TR"/>
                          </w:rPr>
                          <w:t xml:space="preserve"> (1) Bu Yönetmelik; İş Sağlığı ve Güvenliği Kanununun 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 xml:space="preserve">8 inci, 24 üncü, 27 </w:t>
                        </w:r>
                        <w:proofErr w:type="spellStart"/>
                        <w:r w:rsidRPr="00611F9D">
                          <w:rPr>
                            <w:rFonts w:ascii="Calibri" w:eastAsia="Times New Roman" w:hAnsi="Calibri" w:cs="Calibri"/>
                            <w:u w:val="single"/>
                            <w:lang w:eastAsia="tr-TR"/>
                          </w:rPr>
                          <w:t>nci</w:t>
                        </w:r>
                        <w:proofErr w:type="spellEnd"/>
                        <w:r w:rsidRPr="00611F9D">
                          <w:rPr>
                            <w:rFonts w:ascii="Calibri" w:eastAsia="Times New Roman" w:hAnsi="Calibri" w:cs="Calibri"/>
                            <w:u w:val="single"/>
                            <w:lang w:eastAsia="tr-TR"/>
                          </w:rPr>
                          <w:t>, 30 uncu ve 31 inci</w:t>
                        </w:r>
                        <w:r w:rsidRPr="00611F9D">
                          <w:rPr>
                            <w:rFonts w:ascii="Calibri" w:eastAsia="Times New Roman" w:hAnsi="Calibri" w:cs="Calibri"/>
                            <w:lang w:eastAsia="tr-TR"/>
                          </w:rPr>
                          <w:t xml:space="preserve"> maddeleri ile 9/1/1985 tarihli ve 3146 sayılı Çalışma ve Sosyal Güvenlik Bakanlığının Teşkilat ve Görevleri Hakkında Kanunun 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ve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maddelerine dayanılarak hazırlanmıştır.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Tanımlar ve kısaltmalar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4 –</w:t>
                        </w:r>
                        <w:r w:rsidRPr="00611F9D">
                          <w:rPr>
                            <w:rFonts w:ascii="Calibri" w:eastAsia="Times New Roman" w:hAnsi="Calibri" w:cs="Calibri"/>
                            <w:lang w:eastAsia="tr-TR"/>
                          </w:rPr>
                          <w:t> (1) Bu Yönetmelikte geçen: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Bakanlık: Çalışma ve Sosyal Güvenlik Bakanlığını,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İş Sağlığı ve Güvenliği Genel Müdürlüğünü,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 sağlık ve güvenlik birimi (İSGB): İşyerinde iş sağlığı ve güvenliği hizmetlerini yürütmek üzere kurulan, gerekli donanım ve personele sahip olan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İSG-KÂTİP: İş sağlığı ve güvenliği hizmetleri ile ilgili iş ve işlemlerin Genel Müdürlükçe kayıt, takip ve izlenmesi amacıyla kullanılan iş sağlığı ve güvenliği kayıt, takip ve izleme programını,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f) Ortak sağlık ve güvenlik birimi (OSGB): Kamu kurum ve kuruluşları, organize sanayi bölgeleri ile </w:t>
                        </w:r>
                        <w:proofErr w:type="gramStart"/>
                        <w:r w:rsidRPr="00611F9D">
                          <w:rPr>
                            <w:rFonts w:ascii="Calibri" w:eastAsia="Times New Roman" w:hAnsi="Calibri" w:cs="Calibri"/>
                            <w:lang w:eastAsia="tr-TR"/>
                          </w:rPr>
                          <w:t>13/1/2011</w:t>
                        </w:r>
                        <w:proofErr w:type="gramEnd"/>
                        <w:r w:rsidRPr="00611F9D">
                          <w:rPr>
                            <w:rFonts w:ascii="Calibri" w:eastAsia="Times New Roman" w:hAnsi="Calibri" w:cs="Calibri"/>
                            <w:lang w:eastAsia="tr-TR"/>
                          </w:rPr>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g) Sorumlu müdür: İşyeri hekimliği veya iş güvenliği uzmanlığı belgesine sahip,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süreli istihdam edilen ve bu birimlerin iş ve işlemlerinden Bakanlığa karşı sorumlu olan kişiyi,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h)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Toplum Sağlığı Merkezi Birimi (TSMB): Sağlık Bakanlığına bağlı,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ifade</w:t>
                        </w:r>
                        <w:proofErr w:type="gramEnd"/>
                        <w:r w:rsidRPr="00611F9D">
                          <w:rPr>
                            <w:rFonts w:ascii="Calibri" w:eastAsia="Times New Roman" w:hAnsi="Calibri" w:cs="Calibri"/>
                            <w:lang w:eastAsia="tr-TR"/>
                          </w:rPr>
                          <w:t xml:space="preserve"> eder.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İKİNCİ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Hak ve Yükümlülükler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iş sağlığı ve güvenliği hizmetleri ile ilgili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5 –</w:t>
                        </w:r>
                        <w:r w:rsidRPr="00611F9D">
                          <w:rPr>
                            <w:rFonts w:ascii="Calibri" w:eastAsia="Times New Roman" w:hAnsi="Calibri" w:cs="Calibri"/>
                            <w:lang w:eastAsia="tr-TR"/>
                          </w:rPr>
                          <w:t> (1)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İşveren, işyerinde gerekli niteliklere sahip personel bulunmaması halinde birinci fıkrada sayılan yükümlülüklerinin tamamını veya bir kısmını,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alarak yerine getirebilir.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Üçüncü fıkrada belirtilen sürenin hesaplanmasında, çalışanların tabi olduğu kanun hükümleri saklı kalmak kaydıyla, </w:t>
                        </w:r>
                        <w:proofErr w:type="gramStart"/>
                        <w:r w:rsidRPr="00611F9D">
                          <w:rPr>
                            <w:rFonts w:ascii="Calibri" w:eastAsia="Times New Roman" w:hAnsi="Calibri" w:cs="Calibri"/>
                            <w:lang w:eastAsia="tr-TR"/>
                          </w:rPr>
                          <w:t>22/5/2003</w:t>
                        </w:r>
                        <w:proofErr w:type="gramEnd"/>
                        <w:r w:rsidRPr="00611F9D">
                          <w:rPr>
                            <w:rFonts w:ascii="Calibri" w:eastAsia="Times New Roman" w:hAnsi="Calibri" w:cs="Calibri"/>
                            <w:lang w:eastAsia="tr-TR"/>
                          </w:rPr>
                          <w:t xml:space="preserve"> tarihli ve 4857 sayılı İş Kanununa göre belirlenen haftalık çalışma süresi dikkate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 sağlığı ve güvenliği hizmetleri ile ilgili görevlendirilen personelin etkin bir şekilde çalışması amacıyla gerekli kolaylığı sağlamak ve bu hususta planlama ve düzenleme yapmakla,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Görevlendirdiği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görevlerini yerine getirmeleri amacıyla araç, gereç, mekân ve zaman gibi gerekli bütün ihtiyaçlarını karşılamakla,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İşyerinde sağlık ve güvenlik hizmetini yürütenler arasında işbirliği ve koordinasyonu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Görevlendirdiği kişi veya hizmet aldığı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tarafından iş sağlığı ve güvenliği ile ilgili mevzuata uygun olan ve yazılı olarak bildirilen tedbirleri yerine getirmekle,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İşyeri hekimi, iş güvenliği uzmanı ve diğer sağlık personelinin görevlerini yerine getirebilmeleri için, Bakanlıkça belirlenen sürelerden az olmamak kaydı ile yeterli çalışma süresini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Bakanlıkça belirlenecek iş sağlığı ve güvenliğini ilgilendiren konularla ilgili bilgileri, İSG KATİP sistemi üzerinden Genel Müdürlüğe bilgi vermekle,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yükümlüdür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İş sağlığı ve güvenliği hizmetlerini yürütmek üzere işyerinden personel görevlendirmek veya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almak suretiyle bu konudaki yetkilerini devreden işverenin bu hizmetlere ilişkin yükümlülükleri devam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İşveren işyerinde görev yapan işyeri hekimi, iş güvenliği uzmanı ve diğer sağlık personeli ile hizmet alınan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 Sağlığı ve Güvenliği Kanununa göre geçerli yetki belgesi ile görevlendirilmesinden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İşyeri hekimi, iş güvenliği uzmanı ve diğer sağlık personelinin </w:t>
                        </w:r>
                        <w:r w:rsidRPr="00611F9D">
                          <w:rPr>
                            <w:rFonts w:ascii="Calibri" w:eastAsia="Times New Roman" w:hAnsi="Calibri" w:cs="Calibri"/>
                            <w:lang w:eastAsia="tr-TR"/>
                          </w:rPr>
                          <w:lastRenderedPageBreak/>
                          <w:t>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İşveren, </w:t>
                        </w:r>
                        <w:proofErr w:type="spellStart"/>
                        <w:r w:rsidRPr="00611F9D">
                          <w:rPr>
                            <w:rFonts w:ascii="Calibri" w:eastAsia="Times New Roman" w:hAnsi="Calibri" w:cs="Calibri"/>
                            <w:lang w:eastAsia="tr-TR"/>
                          </w:rPr>
                          <w:t>sektörel</w:t>
                        </w:r>
                        <w:proofErr w:type="spellEnd"/>
                        <w:r w:rsidRPr="00611F9D">
                          <w:rPr>
                            <w:rFonts w:ascii="Calibri" w:eastAsia="Times New Roman" w:hAnsi="Calibri" w:cs="Calibri"/>
                            <w:lang w:eastAsia="tr-TR"/>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611F9D">
                          <w:rPr>
                            <w:rFonts w:ascii="Calibri" w:eastAsia="Times New Roman" w:hAnsi="Calibri" w:cs="Calibri"/>
                            <w:lang w:eastAsia="tr-TR"/>
                          </w:rPr>
                          <w:t>sektörel</w:t>
                        </w:r>
                        <w:proofErr w:type="spellEnd"/>
                        <w:r w:rsidRPr="00611F9D">
                          <w:rPr>
                            <w:rFonts w:ascii="Calibri" w:eastAsia="Times New Roman" w:hAnsi="Calibri" w:cs="Calibri"/>
                            <w:lang w:eastAsia="tr-TR"/>
                          </w:rPr>
                          <w:t xml:space="preserve"> iş güvenliği uzmanlığı belgesine sahip olan iş güvenliği uzmanı görevlendirmek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katılım sağlama ve bilgilendirme yükümlülüğü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6 –</w:t>
                        </w:r>
                        <w:r w:rsidRPr="00611F9D">
                          <w:rPr>
                            <w:rFonts w:ascii="Calibri" w:eastAsia="Times New Roman" w:hAnsi="Calibri" w:cs="Calibri"/>
                            <w:lang w:eastAsia="tr-TR"/>
                          </w:rPr>
                          <w:t> (1)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a) İşyerinden görevlendirilecek veya hizmet alınacak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görevli işyeri hekimi, iş güvenliği uzmanı ve diğer sağlık personelinin görevlendirilmesi konusunda çalışan temsilcilerinin önceden görüşlerinin alınmasını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Görevlendirdiği veya hizmet aldığı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görev yapan kişiler ile bunların çalışma saatleri, görev, yetki ve sorumlulukları konusunda çalışan temsilcisi ve çalışanları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Çalışanların sağlık ve güvenliğini etkilediği bilinen veya etkilemesi muhtemel konular hakkında; görevlendirdiği kişi veya hizmet aldığı </w:t>
                        </w:r>
                        <w:proofErr w:type="spellStart"/>
                        <w:r w:rsidRPr="00611F9D">
                          <w:rPr>
                            <w:rFonts w:ascii="Calibri" w:eastAsia="Times New Roman" w:hAnsi="Calibri" w:cs="Calibri"/>
                            <w:lang w:eastAsia="tr-TR"/>
                          </w:rPr>
                          <w:t>OSGB’yi</w:t>
                        </w:r>
                        <w:proofErr w:type="spellEnd"/>
                        <w:r w:rsidRPr="00611F9D">
                          <w:rPr>
                            <w:rFonts w:ascii="Calibri" w:eastAsia="Times New Roman" w:hAnsi="Calibri" w:cs="Calibri"/>
                            <w:lang w:eastAsia="tr-TR"/>
                          </w:rPr>
                          <w:t>, başka işyerlerinden çalışmak üzere kendi işyerine gelen çalışanları ve bunların işverenlerini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Başka bir işyerinden kendi işyerine çalışmak üzere gelen çalışanların sağlık bilgilerine, görevlendirdiği kişi veya hizmet aldığı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ulaşabilmesini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 sağlığı ve güvenliği mevzuatı gereği, yükümlü olduğu kayıt ve bildirimleri görevlendirdiği kişi veya hizmet aldığı OSGB ile işbirliği içerisinde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sağlık ve güvenlik kayıtları ve onaylı deftere ilişkin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7 –</w:t>
                        </w:r>
                        <w:r w:rsidRPr="00611F9D">
                          <w:rPr>
                            <w:rFonts w:ascii="Calibri" w:eastAsia="Times New Roman" w:hAnsi="Calibri" w:cs="Calibri"/>
                            <w:lang w:eastAsia="tr-TR"/>
                          </w:rPr>
                          <w:t> (1) İşveren ilgili mevzuatta belirlenen süreler saklı kalmak kaydıyla;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yürütülen iş sağlığı ve güvenliği faaliyetlerine ilişkin her türlü kaydı,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İşten ayrılma tarihinden itibaren en az 15 yıl süreyle çalışanların kişisel sağlık dosyalarını,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saklar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Onaylı defter işyerinin bağlı bulunduğu Çalışma ve İş Kurumu İl Müdürlükleri </w:t>
                        </w:r>
                        <w:r w:rsidRPr="00611F9D">
                          <w:rPr>
                            <w:rFonts w:ascii="Calibri" w:eastAsia="Times New Roman" w:hAnsi="Calibri" w:cs="Calibri"/>
                            <w:b/>
                            <w:bCs/>
                            <w:lang w:eastAsia="tr-TR"/>
                          </w:rPr>
                          <w:t xml:space="preserve">(Mülga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(…)veya noterce her sayfası mühürlenmek suretiyle onaylanır.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Onaylı defter yapılan tespitlere göre iş güvenliği uzmanı, işyeri hekimi ile işveren tarafından birlikte veya ayrı ayrı imzalanır. Onaylı deftere yazılan tespit ve öneriler işverene tebliğ edilmiş sayılır.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Çalışanların hak ve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8 –</w:t>
                        </w:r>
                        <w:r w:rsidRPr="00611F9D">
                          <w:rPr>
                            <w:rFonts w:ascii="Calibri" w:eastAsia="Times New Roman" w:hAnsi="Calibri" w:cs="Calibri"/>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Çalışanlar ve temsilcileri, işyerinde yürütülecek iş sağlığı ve güvenliği hizmetlerinin amaç ve usulleri konusunda haberdar edilir ve elde edilen verilerin kullanılması hakkında bilgilendirilirler.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Çalışanlar, işyerinde sağlıklı ve güvenli çalışma ortamının korunması ve geliştirilmesi için;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iş güvenliği uzmanı veya işveren tarafından verilen iş sağlığı ve güvenliğiyle ilgili mevzuata uygun talimatlara uyar.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İş sağlığı ve güvenliği hizmetlerini yerine getirmek üzere işveren tarafından görevlendirilen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yapacağı çalışmalarda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 sağlığı ve güvenliğine ilişkin çalışmalara, sağlık muayenelerine, bilgilendirme ve eğitim programlarına katılır.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ç) Makine, tesisat ve kişisel koruyucu donanımı verilen eğitim ve talimatlar doğrultusunda ve amacına uygun olarak kullanır.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Teftişe yetkili makam tarafından işyerinde tespit edilen noksanlık ve ilgili mevzuata aykırılıkların giderilmesi konusunda, işveren ve çalışan temsilcisi ile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Hizmetin çalışanlara ücretsiz verilmesi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9 –</w:t>
                        </w:r>
                        <w:r w:rsidRPr="00611F9D">
                          <w:rPr>
                            <w:rFonts w:ascii="Calibri" w:eastAsia="Times New Roman" w:hAnsi="Calibri" w:cs="Calibri"/>
                            <w:lang w:eastAsia="tr-TR"/>
                          </w:rPr>
                          <w:t> (1) İş sağlığı ve güvenliği hizmetleri çalışanlara mali yük getirmeyecek şekilde sunulur.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ÜÇÜNCÜ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ve Ortak Sağlık ve Güvenlik Birimi ile İş Sağlığı ve Güvenliği Hizmetlerinin Yürütülmesi için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10 –</w:t>
                        </w:r>
                        <w:r w:rsidRPr="00611F9D">
                          <w:rPr>
                            <w:rFonts w:ascii="Calibri" w:eastAsia="Times New Roman" w:hAnsi="Calibri" w:cs="Calibri"/>
                            <w:lang w:eastAsia="tr-TR"/>
                          </w:rPr>
                          <w:t> (1) İSGB; en az bir işyeri hekimi ile işyerinin tehlike sınıfına uygun belgeye sahip en az bir iş güvenliği uzmanının görevlendirilmesi ile oluşturulur. Bu birimde işveren diğer sağlık personeli de görevlendirebilir.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yürütülmesi amacıyla işveren tarafından işyerlerinde kurulacak olan iş sağlığı ve güvenliği birimlerinde aşağıdaki şartlar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İSGB, iş sağlığı ve güvenliği hizmetlerinin yürütülmesine ve çalışan personel sayısına uygun büyüklükte bir yerde kurulur. Bu birimin asıl işin yürütüldüğü mekânda ve giriş katta kurulması esastır.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w:t>
                        </w:r>
                        <w:proofErr w:type="spellStart"/>
                        <w:r w:rsidRPr="00611F9D">
                          <w:rPr>
                            <w:rFonts w:ascii="Calibri" w:eastAsia="Times New Roman" w:hAnsi="Calibri" w:cs="Calibri"/>
                            <w:lang w:eastAsia="tr-TR"/>
                          </w:rPr>
                          <w:t>İSGB’ler</w:t>
                        </w:r>
                        <w:proofErr w:type="spellEnd"/>
                        <w:r w:rsidRPr="00611F9D">
                          <w:rPr>
                            <w:rFonts w:ascii="Calibri" w:eastAsia="Times New Roman" w:hAnsi="Calibri" w:cs="Calibri"/>
                            <w:lang w:eastAsia="tr-TR"/>
                          </w:rPr>
                          <w:t xml:space="preserve"> Ek-1’de belirtilen araç ve gereçler ile donatılır ve işyerinde çalışanların acil durumlarda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İSGB’nin</w:t>
                        </w:r>
                        <w:proofErr w:type="spellEnd"/>
                        <w:r w:rsidRPr="00611F9D">
                          <w:rPr>
                            <w:rFonts w:ascii="Calibri" w:eastAsia="Times New Roman" w:hAnsi="Calibri" w:cs="Calibri"/>
                            <w:lang w:eastAsia="tr-TR"/>
                          </w:rPr>
                          <w:t xml:space="preserve"> bölümleri aynı alanda bulunur ve bu alan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 xml:space="preserve">Sağlık Bakanlığından ruhsatlı sağlık hizmeti sunucusu olan işyerlerinde kurulacak </w:t>
                        </w:r>
                        <w:proofErr w:type="spellStart"/>
                        <w:r w:rsidRPr="00611F9D">
                          <w:rPr>
                            <w:rFonts w:ascii="Calibri" w:eastAsia="Times New Roman" w:hAnsi="Calibri" w:cs="Calibri"/>
                            <w:lang w:eastAsia="tr-TR"/>
                          </w:rPr>
                          <w:t>İSGB’lerde</w:t>
                        </w:r>
                        <w:proofErr w:type="spellEnd"/>
                        <w:r w:rsidRPr="00611F9D">
                          <w:rPr>
                            <w:rFonts w:ascii="Calibri" w:eastAsia="Times New Roman" w:hAnsi="Calibri" w:cs="Calibri"/>
                            <w:lang w:eastAsia="tr-TR"/>
                          </w:rPr>
                          <w:t xml:space="preserve"> ilk yardım ve acil müdahale odası şartı ve EK-1’de belirtilen araç ve gereçler ile ulaşım amaçlı araç bulundurulması zorunluluğu aranmaz.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sağlığı ve güvenliği hizmetlerinin yürütülmesi amacıyla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11 –</w:t>
                        </w:r>
                        <w:r w:rsidRPr="00611F9D">
                          <w:rPr>
                            <w:rFonts w:ascii="Calibri" w:eastAsia="Times New Roman" w:hAnsi="Calibri" w:cs="Calibri"/>
                            <w:lang w:eastAsia="tr-TR"/>
                          </w:rPr>
                          <w:t xml:space="preserve"> (1) Tam süreli işyeri hekimi ve iş güvenliği uzmanı görevlendirilmesi gerekli olmayan hallerde işveren, görevlendirdiği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görevlerini yerine getirmeleri amacı ile asgari bu maddedeki şartları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50 ve daha fazla çalışanı olan işyerlerinde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ile diğer sağlık personeline ve iş güvenliği uzmanına 8 metrekareden az olmamak üzere toplam iki oda temin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ayrıca acil durumlarda çalışanların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İş sağlığı ve güvenliği hizmetlerinin yürütülmesi için işveren tarafından ayrılan çalışma </w:t>
                        </w:r>
                        <w:r w:rsidRPr="00611F9D">
                          <w:rPr>
                            <w:rFonts w:ascii="Calibri" w:eastAsia="Times New Roman" w:hAnsi="Calibri" w:cs="Calibri"/>
                            <w:lang w:eastAsia="tr-TR"/>
                          </w:rPr>
                          <w:lastRenderedPageBreak/>
                          <w:t>yerlerinin bölüm ve birimlerinin aynı alan içerisinde bulunması esastır. Bu bölüm ve birimlerin bulunduğu yerler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12 –</w:t>
                        </w:r>
                        <w:r w:rsidRPr="00611F9D">
                          <w:rPr>
                            <w:rFonts w:ascii="Calibri" w:eastAsia="Times New Roman" w:hAnsi="Calibri" w:cs="Calibri"/>
                            <w:lang w:eastAsia="tr-TR"/>
                          </w:rPr>
                          <w:t> (1) OSGB kurulabilmesi ve hizmet sunabilmesi için tam süreli iş sözleşmesiyle çalışan en az bir;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güvenliği uzmanı,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Diğer sağlık personeli,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istihdamı</w:t>
                        </w:r>
                        <w:proofErr w:type="gramEnd"/>
                        <w:r w:rsidRPr="00611F9D">
                          <w:rPr>
                            <w:rFonts w:ascii="Calibri" w:eastAsia="Times New Roman" w:hAnsi="Calibri" w:cs="Calibri"/>
                            <w:lang w:eastAsia="tr-TR"/>
                          </w:rPr>
                          <w:t xml:space="preserve">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süreli görevlendirilenler, başka bir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veya işyerinde aynı unvanla veya Bakanlıkça yetkilendirilen eğitim kurumlarında eğitici unvanıyla görev alamaz.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sözleşme yaptıkları işyerlerine sunulacak iş sağlığı ve güvenliği hizmetlerini, işyerinin tehlike sınıfı ve çalışan sayısına göre belirlenen sürelerden az olmamak kaydı ile yürütür.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kuruldukları il ve sınır komşusu illerde hizmet sunmaya yetkilidir.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 xml:space="preserve">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işin yapıldığı illerden herhangi birisinde yetkilendirilmiş olması yeterlidir.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yetkilendirildikleri il sınırı içerisinde izinsiz şube açamayacağı gibi herhangi bir şekilde irtibat bürosu da açamazlar. Şube açmak istediklerinde bu Yönetmelikte belirtilen şartları sağlarlar.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işyerlerine hizmet verdikleri sürece yetki aldıkları adreste, açık ve faaliyette bulunması esastır. Günlük çalışma süresi içinde verilen hizmet ve faaliyetler konusunda yetkili bir kişinin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hazır bulunması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OSGB, </w:t>
                        </w:r>
                        <w:proofErr w:type="gramStart"/>
                        <w:r w:rsidRPr="00611F9D">
                          <w:rPr>
                            <w:rFonts w:ascii="Calibri" w:eastAsia="Times New Roman" w:hAnsi="Calibri" w:cs="Calibri"/>
                            <w:lang w:eastAsia="tr-TR"/>
                          </w:rPr>
                          <w:t>10/2/2004</w:t>
                        </w:r>
                        <w:proofErr w:type="gramEnd"/>
                        <w:r w:rsidRPr="00611F9D">
                          <w:rPr>
                            <w:rFonts w:ascii="Calibri" w:eastAsia="Times New Roman" w:hAnsi="Calibri" w:cs="Calibri"/>
                            <w:lang w:eastAsia="tr-TR"/>
                          </w:rPr>
                          <w:t xml:space="preserve"> tarihli ve 25369 sayılı Resmî Gazete’de yayımlanan İşyeri Bina ve Eklentilerinde Alınacak Sağlık ve Güvenlik Önlemlerine İlişkin Yönetmelikte belirtilen niteliklere uygun şekilde oluşturulur ve Ek-1’de belirtilen araç ve gereçlerle donatılır.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zemin katta veya müstakil binalarda kurulması esastır. Ancak tuvalet ve arşiv bölümleri hariç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bulunması gereken diğer bölümler, yol seviyesinden girişi olmayan katlarda kurulamaz. Tuvalet ve arşiv bölümleri ise </w:t>
                        </w:r>
                        <w:proofErr w:type="spellStart"/>
                        <w:r w:rsidRPr="00611F9D">
                          <w:rPr>
                            <w:rFonts w:ascii="Calibri" w:eastAsia="Times New Roman" w:hAnsi="Calibri" w:cs="Calibri"/>
                            <w:lang w:eastAsia="tr-TR"/>
                          </w:rPr>
                          <w:t>OSGB’ye</w:t>
                        </w:r>
                        <w:proofErr w:type="spellEnd"/>
                        <w:r w:rsidRPr="00611F9D">
                          <w:rPr>
                            <w:rFonts w:ascii="Calibri" w:eastAsia="Times New Roman" w:hAnsi="Calibri" w:cs="Calibri"/>
                            <w:lang w:eastAsia="tr-TR"/>
                          </w:rPr>
                          <w:t xml:space="preserve"> ait olmak kaydıyla bodrum katta bulunabilir. Kat niteliklerinin tespitinde tapu kayıtları esas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yetki aldığı mevcut adreste faaliyetine devam eder. Unvan değişikliğinde yetki belgesi yenileme başvuru süresi 30 gündür.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(11) Şirket ortaklarında değişiklik olması halinde, durum 30 gün içerisinde Genel Müdürlüğe bildirilir. Yeni şirket ortaklarının ilgili mevzuat hükümlerinde belirtilen şartlara uygun olmaması </w:t>
                        </w:r>
                        <w:r w:rsidRPr="00611F9D">
                          <w:rPr>
                            <w:rFonts w:ascii="Calibri" w:eastAsia="Times New Roman" w:hAnsi="Calibri" w:cs="Calibri"/>
                            <w:lang w:eastAsia="tr-TR"/>
                          </w:rPr>
                          <w:lastRenderedPageBreak/>
                          <w:t>halinde durumun düzeltilmesi amacıyla Genel Müdürlükçe şirkete 30 gün süre verilir.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DÖRDÜNCÜ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ile Ortak Sağlık ve Güvenlik Biriminin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Çalışma Usul ve Esasları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xml:space="preserve">İSGB ve </w:t>
                        </w: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13 –</w:t>
                        </w:r>
                        <w:r w:rsidRPr="00611F9D">
                          <w:rPr>
                            <w:rFonts w:ascii="Calibri" w:eastAsia="Times New Roman" w:hAnsi="Calibri" w:cs="Calibri"/>
                            <w:lang w:eastAsia="tr-TR"/>
                          </w:rPr>
                          <w:t xml:space="preserve"> (1) İSGB ve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işyerlerinde sağlıklı ve güvenli bir çalışma ortamı oluşturulmasına katkıda bulunulması amacıyla;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Çalışanların sağlığını korumak ve geliştirmek amacı ile yapılacak sağlık gözetiminin uygulanmasından,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iş sağlığı ve güvenliği eğitimleri ve bilgilendirilmeleri konusunda planlama yapılarak işverenin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e) Çalışanların yürüttüğü işler, işyerinde yapılan risk değerlendirmesi sonuçları ve </w:t>
                        </w:r>
                        <w:proofErr w:type="spellStart"/>
                        <w:r w:rsidRPr="00611F9D">
                          <w:rPr>
                            <w:rFonts w:ascii="Calibri" w:eastAsia="Times New Roman" w:hAnsi="Calibri" w:cs="Calibri"/>
                            <w:lang w:eastAsia="tr-TR"/>
                          </w:rPr>
                          <w:t>maruziyet</w:t>
                        </w:r>
                        <w:proofErr w:type="spellEnd"/>
                        <w:r w:rsidRPr="00611F9D">
                          <w:rPr>
                            <w:rFonts w:ascii="Calibri" w:eastAsia="Times New Roman" w:hAnsi="Calibri" w:cs="Calibri"/>
                            <w:lang w:eastAsia="tr-TR"/>
                          </w:rPr>
                          <w:t xml:space="preserve"> bilgileri ile işe giriş ve periyodik sağlık muayenesi sonuçları, iş kazaları ile meslek hastalıkları kayıtlarının, işyerindeki kişisel sağlık dosyalarında gizlilik ilkesine uyularak saklanmasından,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İşyerlerinde iş sağlığı ve güvenliği hizmeti sunmak üzere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görevlendirilen işyeri hekimi ve iş güvenliği uzmanı tarafından saklanması gereken onaylı defter suretleri, </w:t>
                        </w:r>
                        <w:r w:rsidRPr="00611F9D">
                          <w:rPr>
                            <w:rFonts w:ascii="Calibri" w:eastAsia="Times New Roman" w:hAnsi="Calibri" w:cs="Calibri"/>
                            <w:b/>
                            <w:bCs/>
                            <w:lang w:eastAsia="tr-TR"/>
                          </w:rPr>
                          <w:t xml:space="preserve">(Ek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yıllık çalışma planı ve yıllık değerlendirme raporu suretleri ile çalışanlara verilen iş sağlığı ve güvenliği eğitimlerine dair kayıtlar</w:t>
                        </w:r>
                        <w:r w:rsidRPr="00611F9D">
                          <w:rPr>
                            <w:rFonts w:ascii="Calibri" w:eastAsia="Times New Roman" w:hAnsi="Calibri" w:cs="Calibri"/>
                            <w:lang w:eastAsia="tr-TR"/>
                          </w:rPr>
                          <w:t xml:space="preserve"> OSGB arşivinde tutulur ve istenmesi halinde denetime yetkili memurlara gösterilir. Kendilerinden talep edilmese dahi, sözleşme süresi sonunda bütün kayıt ve dosyalar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işverene teslim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İSGB ve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iş sağlığı ve güvenliği hizmetlerinin sunulması sırasında işin normal akışını aksatmamaya özen gösterirler.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 sağlığı ve güvenliği hizmetlerinin tamamını veya bir kısmını başka bir kişi veya kuruma devredemezler.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istihdam edilen kişilere ilişkin sözleşmeler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beş işgünü içerisinde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herhangi bir sebeple faaliyetlerini bırakmaları veya belgelerinin Genel Müdürlükçe iptal edilmesi halinde 30 gün içinde yetki belgelerinin asıllarını Genel Müdürlüğe iade ederler.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sorumlu müdür olarak görevlendirilen kişinin değişmesi veya bu kişinin görevinden ayrılması durumunda, </w:t>
                        </w:r>
                        <w:proofErr w:type="spellStart"/>
                        <w:r w:rsidRPr="00611F9D">
                          <w:rPr>
                            <w:rFonts w:ascii="Calibri" w:eastAsia="Times New Roman" w:hAnsi="Calibri" w:cs="Calibri"/>
                            <w:lang w:eastAsia="tr-TR"/>
                          </w:rPr>
                          <w:t>OSGB’ce</w:t>
                        </w:r>
                        <w:proofErr w:type="spellEnd"/>
                        <w:r w:rsidRPr="00611F9D">
                          <w:rPr>
                            <w:rFonts w:ascii="Calibri" w:eastAsia="Times New Roman" w:hAnsi="Calibri" w:cs="Calibri"/>
                            <w:lang w:eastAsia="tr-TR"/>
                          </w:rPr>
                          <w:t xml:space="preserve"> en geç 30 gün içerisinde yeni sorumlu müdürün İSG-KATİP üzerinden atanması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Görevlendirme belgesi ve sözleşme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14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İşyerinde çalışanlar arasından işyeri hekimi, iş güvenliği uzmanı ve diğer sağlık personeli görevlendirilmesi durumunda bu kişilerle işveren arasında;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alınması </w:t>
                        </w:r>
                        <w:r w:rsidRPr="00611F9D">
                          <w:rPr>
                            <w:rFonts w:ascii="Calibri" w:eastAsia="Times New Roman" w:hAnsi="Calibri" w:cs="Calibri"/>
                            <w:lang w:eastAsia="tr-TR"/>
                          </w:rPr>
                          <w:lastRenderedPageBreak/>
                          <w:t>durumunda OSGB ile işveren arasında sözleşme imzalanır.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Sözleşme ve görevlendirme belgeleri Yönetmelikteki eklerine uygun olarak aşağıda belirtilen usul ve esaslar çerçevesinde düzenlenir.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ile işveren arasında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çalışanlar arasından görevlendirme yapılması durumunda, işyeri hekimi, iş güvenliği uzmanı, diğer sağlık personeli ile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veya görevlendirme belgesi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sözleşmenin bir nüshası işveren tarafından, biri sözleşme veya görevlendirme yapılan kişiler tarafından saklanır.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Kamuya ait işyerlerinde </w:t>
                        </w:r>
                        <w:proofErr w:type="gramStart"/>
                        <w:r w:rsidRPr="00611F9D">
                          <w:rPr>
                            <w:rFonts w:ascii="Calibri" w:eastAsia="Times New Roman" w:hAnsi="Calibri" w:cs="Calibri"/>
                            <w:lang w:eastAsia="tr-TR"/>
                          </w:rPr>
                          <w:t>14/7/1965</w:t>
                        </w:r>
                        <w:proofErr w:type="gramEnd"/>
                        <w:r w:rsidRPr="00611F9D">
                          <w:rPr>
                            <w:rFonts w:ascii="Calibri" w:eastAsia="Times New Roman" w:hAnsi="Calibri" w:cs="Calibri"/>
                            <w:lang w:eastAsia="tr-TR"/>
                          </w:rPr>
                          <w:t xml:space="preserve">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güvenliği uzmanı, işyeri hekimi ve diğer sağlık personeline, iş sağlığı ve güvenliği ile ilgili çalışmaları yaptığı süre içinde başka görev verilemez.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İSGB ve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görevlendirme zorunluluğu bulunanların görevlerinden ayrılması durumunda yerine 30 gün içerisinde aranan niteliklere sahip personel görevlendirilir ve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(9)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işyerlerine sunulan her türlü iş sağlığı ve güvenliği hizmeti için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sözleşme yapılması gerekmektedir.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İşbirliği ve koordinasyon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15 –</w:t>
                        </w:r>
                        <w:r w:rsidRPr="00611F9D">
                          <w:rPr>
                            <w:rFonts w:ascii="Calibri" w:eastAsia="Times New Roman" w:hAnsi="Calibri" w:cs="Calibri"/>
                            <w:lang w:eastAsia="tr-TR"/>
                          </w:rPr>
                          <w:t> (1) İSGB veya OSGB personeli, görevlerinin yürütümünde ve iş sağlığı ve güvenliği mevzuatında öngörülen tedbirlerin uygulanmasında işbirliği ve koordinasyon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İSGB veya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işverenle, işyerinde çalışanlarla, çalışan temsilcileriyle ve bulunması halinde İş Sağlığı ve Güvenliği Kanununun 22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maddesinde belirtilen iş sağlığı ve güvenliği kuruluyla işbirliği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İşletme içinden veya dışından iş sağlığı ve güvenliği hizmetlerinde görevlendirilenler arasında koordinasyon işveren tarafından sağlanır.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BEŞİNCİ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Başvuruları ve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16 –</w:t>
                        </w:r>
                        <w:r w:rsidRPr="00611F9D">
                          <w:rPr>
                            <w:rFonts w:ascii="Calibri" w:eastAsia="Times New Roman" w:hAnsi="Calibri" w:cs="Calibri"/>
                            <w:lang w:eastAsia="tr-TR"/>
                          </w:rPr>
                          <w:t> (1)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cümleler:RG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 belgesi almak amacıyla e-devlet sistemi üzerinden başvuru yapar. E-devlet sisteminin iki günden fazla çalışmadığı durumlarda doğrudan veya posta yoluyla başvuru yapılabilir. Başvuru dosyasında aşağıda belirtilen ekler bulunur: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Ticari şirketler için tescil edildiğini gösteren Ticaret Sicil Gazetesi ve imza yetkisi olanları gösteren imza sirküleri.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sorumlu müdürünün kabul şerhli görevlendirme yazısı, bu kişi şirket sahibi veya ortağı ise sorumlu müdürlük taahhütnamesi.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Faaliyet gösterilecek yere ait olan yapı kullanma izin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Faaliyet gösterilecek yere ait olan ve yetkili makamlarca verilen ada, pafta, parsel bilgilerini gösteren </w:t>
                        </w:r>
                        <w:proofErr w:type="spellStart"/>
                        <w:r w:rsidRPr="00611F9D">
                          <w:rPr>
                            <w:rFonts w:ascii="Calibri" w:eastAsia="Times New Roman" w:hAnsi="Calibri" w:cs="Calibri"/>
                            <w:lang w:eastAsia="tr-TR"/>
                          </w:rPr>
                          <w:t>numarataj</w:t>
                        </w:r>
                        <w:proofErr w:type="spellEnd"/>
                        <w:r w:rsidRPr="00611F9D">
                          <w:rPr>
                            <w:rFonts w:ascii="Calibri" w:eastAsia="Times New Roman" w:hAnsi="Calibri" w:cs="Calibri"/>
                            <w:lang w:eastAsia="tr-TR"/>
                          </w:rPr>
                          <w:t xml:space="preserve"> veya adres tespit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tapu senedi ile birlikte kira sözleşmesi veya intifa hakkı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olan ve bu Yönetmelikte belirtilen bütün bölümlerin yer aldığı inşaat teknikeri, mimar veya inşaat mühendisi tarafından onaylanmış 1/100 ölçekli plan.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İlgili mevzuata göre faaliyet gösterilecek yerde yangına karşı gerekli tedbirlerin alındığına ve bu yerde OSGB açılmasında sakınca olmadığına dair yetkili merciler tarafından verilen belge.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Tapu kütüğünde mesken olarak kayıtlı bir gayrimenkulde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faaliyet gösterebileceğine dair kat malikleri kurulunun oybirliğiyle aldığı karar örneği.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Kamu kurum ve kuruluşları için, yalnızca birinci fıkranın (b), (c), (f) ve (g) bentlerinde belirtilen belgeler istenir. Ancak mekân kamu kurumuna ait değilse (a) bendi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Organize sanayi bölgelerince kurulacak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17 – </w:t>
                        </w:r>
                        <w:r w:rsidRPr="00611F9D">
                          <w:rPr>
                            <w:rFonts w:ascii="Calibri" w:eastAsia="Times New Roman" w:hAnsi="Calibri" w:cs="Calibri"/>
                            <w:lang w:eastAsia="tr-TR"/>
                          </w:rPr>
                          <w:t>(1)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OSGB tarafından yetki belgesi almak amacıyla yapılan başvuru Genel Müdürlükçe en geç on iş günü içinde incelenir. </w:t>
                        </w:r>
                        <w:proofErr w:type="gramStart"/>
                        <w:r w:rsidRPr="00611F9D">
                          <w:rPr>
                            <w:rFonts w:ascii="Calibri" w:eastAsia="Times New Roman" w:hAnsi="Calibri" w:cs="Calibri"/>
                            <w:lang w:eastAsia="tr-TR"/>
                          </w:rPr>
                          <w:t>19/1/2013</w:t>
                        </w:r>
                        <w:proofErr w:type="gramEnd"/>
                        <w:r w:rsidRPr="00611F9D">
                          <w:rPr>
                            <w:rFonts w:ascii="Calibri" w:eastAsia="Times New Roman" w:hAnsi="Calibri" w:cs="Calibri"/>
                            <w:lang w:eastAsia="tr-TR"/>
                          </w:rPr>
                          <w:t xml:space="preserve"> tarihli ve 28533 sayılı Resmî Gazete’de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 belgesi almadan veya süresi içerisinde vize işlemini tamamlamadan bu Yönetmelik kapsamında belirtilen faaliyetleri yapamazlar.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 xml:space="preserve">(5)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aşağıda belirtilen hususlara uymak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Tabela ve basılı evrak, broşür, afiş ve diğer elektronik ortamlarda herhangi bir amaçla kullanılan her türlü yazılı ve görsel dokümanda sadece yetki belgesinde belirtilen isim ve unvan kullanılır.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tarafından, EK-8’deki örneğine uygun, kurum unvanına göre hazırlanan ve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u w:val="single"/>
                            <w:lang w:eastAsia="tr-TR"/>
                          </w:rPr>
                          <w:t>boy/en</w:t>
                        </w:r>
                        <w:r w:rsidRPr="00611F9D">
                          <w:rPr>
                            <w:rFonts w:ascii="Calibri" w:eastAsia="Times New Roman" w:hAnsi="Calibri" w:cs="Calibri"/>
                            <w:lang w:eastAsia="tr-TR"/>
                          </w:rPr>
                          <w:t xml:space="preserve"> oranı 2/3 olan tabela,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Özel kuruluşlar tarafından, kamu kurum ve kuruluşlarına ait olan isimler ticari isim veya unvan olarak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 tarafından başvuru dosyasında beyan edilen yerleşim planı, bina ve donanımda Genel Müdürlük onayı alınmadan hiçbir şekilde değişiklik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Bakanlıkça yetkilendirilen ve </w:t>
                        </w:r>
                        <w:r w:rsidRPr="00611F9D">
                          <w:rPr>
                            <w:rFonts w:ascii="Calibri" w:eastAsia="Times New Roman" w:hAnsi="Calibri" w:cs="Calibri"/>
                            <w:b/>
                            <w:bCs/>
                            <w:lang w:eastAsia="tr-TR"/>
                          </w:rPr>
                          <w:t>(Değişik ibare:RG-18/12/2014-29209) </w:t>
                        </w:r>
                        <w:proofErr w:type="spellStart"/>
                        <w:r w:rsidRPr="00611F9D">
                          <w:rPr>
                            <w:rFonts w:ascii="Calibri" w:eastAsia="Times New Roman" w:hAnsi="Calibri" w:cs="Calibri"/>
                            <w:u w:val="single"/>
                            <w:lang w:eastAsia="tr-TR"/>
                          </w:rPr>
                          <w:t>TSMB’lerin</w:t>
                        </w:r>
                        <w:proofErr w:type="spellEnd"/>
                        <w:r w:rsidRPr="00611F9D">
                          <w:rPr>
                            <w:rFonts w:ascii="Calibri" w:eastAsia="Times New Roman" w:hAnsi="Calibri" w:cs="Calibri"/>
                            <w:lang w:eastAsia="tr-TR"/>
                          </w:rPr>
                          <w:t xml:space="preserve"> işyeri hekimliği ve diğer sağlık personeli hizmetlerini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maddenin üçüncü fıkrasında belirtilen şartları iş güvenliği uzmanı odası hariç yerine getirmeleri durumunda sunabilirler. İş sağlığı ve güvenliği hizmetlerini vermek istedikleri takdirde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ve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maddelerde belirtilen şartları yerine getirirler. Toplum sağlığı merkezlerinin yetkilendirilme ve denetimine ilişkin usul ve esaslar Sağlık Bakanlığı ve Bakanlığın birlikte hazırlayacakları genelge ile belirlenir.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ALTINCI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Çeşitli ve Son Hükümler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Sorumlu müdürün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18 –</w:t>
                        </w:r>
                        <w:r w:rsidRPr="00611F9D">
                          <w:rPr>
                            <w:rFonts w:ascii="Calibri" w:eastAsia="Times New Roman" w:hAnsi="Calibri" w:cs="Calibri"/>
                            <w:lang w:eastAsia="tr-TR"/>
                          </w:rPr>
                          <w:t> (1) OSGB sorumlu müdürü;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personelinin görevlendirilmesinin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 kayıtlarının tutulması ve düzenli olarak arşivlenmesinden,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tarafından istenen belgelerin hazırlanmasından,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başvuru, yetkilendirme, vize işlemlerinin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zamanlı görevli bulunan işyeri hekimleri veya iş güvenliği uzmanları aynı zamanda sorumlu müdürlük görevini de yürütebilir.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talep edilen veya bildirilen her türlü bilgi ve belgeye ilişkin iş ve işlemlerde, Genel Müdürlük tarafından sadece sorumlu müdür muhatap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faaliyet alanları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19 –</w:t>
                        </w:r>
                        <w:r w:rsidRPr="00611F9D">
                          <w:rPr>
                            <w:rFonts w:ascii="Calibri" w:eastAsia="Times New Roman" w:hAnsi="Calibri" w:cs="Calibri"/>
                            <w:lang w:eastAsia="tr-TR"/>
                          </w:rPr>
                          <w:t xml:space="preserve"> (1)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yetki aldıkları adreste ve başvuru dosyasında yer alan planda belirtilen bölümlerde Genel Müdürlükçe yetkilendirilmedikleri konularda hizmet veremez ve faaliyette bulunamazlar.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 xml:space="preserve">(2) Ancak, ilgili kurum ve kuruluşların izinlerini almak ve Genel Müdürlükten onay almak şartıyla,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hizmet verdikleri işyerlerindeki çalışanlar ve işyeri ile sınırlı kalmak şartı ile iş sağlığı ve güvenliği ile ilgili her türlü ölçüm ve analiz için gerekli donanımı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faaliyet gösterdiği adreste bulundurabilir ve ilgili personeli bünyesinde çalıştırabilirler. </w:t>
                        </w:r>
                        <w:proofErr w:type="gramEnd"/>
                        <w:r w:rsidRPr="00611F9D">
                          <w:rPr>
                            <w:rFonts w:ascii="Calibri" w:eastAsia="Times New Roman" w:hAnsi="Calibri" w:cs="Calibri"/>
                            <w:lang w:eastAsia="tr-TR"/>
                          </w:rPr>
                          <w:t xml:space="preserve">Bu amaçla kullanılacak bölümler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maddede belirtilen bölümler içerisinde olamaz ve görevlendirilecek personel mezkûr maddede belirtilen kişiler arasından atanamaz.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Belge alma ve vize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20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Yetki belgelerinin, OSGB ve TSMB tarafından beş yılda bir vize ettirilmesi zorunludur. Belge almak veya vize işlemlerini yaptırmak isteyen kurumların;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Yönetmeliğin ilgili hükümlerine uygunluk sağlamaları,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Bakanlıkça belirlenen belge veya vize bedelini ödemeleri,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lastRenderedPageBreak/>
                          <w:t>gereklidir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unvan değişikliği yapılması halinde yetki belgesinin yenilenmesi için Bakanlıkça belirlenen belge bedelinin ödenmesi 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İhtarlar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21 –</w:t>
                        </w:r>
                        <w:r w:rsidRPr="00611F9D">
                          <w:rPr>
                            <w:rFonts w:ascii="Calibri" w:eastAsia="Times New Roman" w:hAnsi="Calibri" w:cs="Calibri"/>
                            <w:lang w:eastAsia="tr-TR"/>
                          </w:rPr>
                          <w:t xml:space="preserve"> (1) Yetki belgesinin doğrudan iptalini gerektiren durumların dışındaki ihlallerde, </w:t>
                        </w:r>
                        <w:proofErr w:type="spellStart"/>
                        <w:r w:rsidRPr="00611F9D">
                          <w:rPr>
                            <w:rFonts w:ascii="Calibri" w:eastAsia="Times New Roman" w:hAnsi="Calibri" w:cs="Calibri"/>
                            <w:lang w:eastAsia="tr-TR"/>
                          </w:rPr>
                          <w:t>OSGB’lere</w:t>
                        </w:r>
                        <w:proofErr w:type="spellEnd"/>
                        <w:r w:rsidRPr="00611F9D">
                          <w:rPr>
                            <w:rFonts w:ascii="Calibri" w:eastAsia="Times New Roman" w:hAnsi="Calibri" w:cs="Calibri"/>
                            <w:lang w:eastAsia="tr-TR"/>
                          </w:rPr>
                          <w:t xml:space="preserve"> Ek-7’ de belirtilen ihtar puanları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Bir takvim yılı içinde hafif ihlallerin ihtar puanlarının toplamının 30’a, orta ihlallerin ihtar puanlarının toplamının 60’a ulaşması durumunda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o yıl içinde işleyecekleri diğer hafif ve orta ihlaller bir üst derecenin taban puanı esas alınarak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Beş yıllık sürenin sonunda vize işlemini tamamlayan kişi ve kurumların; uygulanmasının üzerinden en az bir yıl geçmiş olan tüm ihtar puanları silinir.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Bu Yönetmelik uyarınca </w:t>
                        </w:r>
                        <w:proofErr w:type="spellStart"/>
                        <w:r w:rsidRPr="00611F9D">
                          <w:rPr>
                            <w:rFonts w:ascii="Calibri" w:eastAsia="Times New Roman" w:hAnsi="Calibri" w:cs="Calibri"/>
                            <w:lang w:eastAsia="tr-TR"/>
                          </w:rPr>
                          <w:t>OSGB’lere</w:t>
                        </w:r>
                        <w:proofErr w:type="spellEnd"/>
                        <w:r w:rsidRPr="00611F9D">
                          <w:rPr>
                            <w:rFonts w:ascii="Calibri" w:eastAsia="Times New Roman" w:hAnsi="Calibri" w:cs="Calibri"/>
                            <w:lang w:eastAsia="tr-TR"/>
                          </w:rPr>
                          <w:t xml:space="preserve"> uygulanan ihtar puanlarına ilişkin itirazlar, işlemin tebliğ tarihinden itibaren en geç 10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Yetkilerin askıya alınması, iptali ve itiraz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Bu Yönetmelik uyarınca yetkilendirilen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yetki belgeleri, ihtar puanları toplamının 300’e ulaşması durumunda Genel Müdürlükçe altı ay süreyle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Yetki belgesi askıya alınan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askıya alınma süresince bu Yönetmelik kapsamındaki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Aşağıdaki durumlardan birinin varlığının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Yönetmelik gereği düzenlenen evrakın gerçeğe aykırılığının tespiti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Şirket ortaklarının uygunsuzluğunun ilgili kuruma bildirilmesine rağmen durumun 30 gün içerisinde düzeltilmemesi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Bakanlıkça belirlenen esaslara aykırı şekilde şube veya irtibat bürosu açmaları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Yetki aldığı adres veya il sınırları dışında hizmet verilmesi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Sunmakla yükümlü oldukları hizmetlerin tamamını veya bir kısmını devretmesi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Genel Müdürlükten onay alınmadan adres değişikliği yapılması veya unvan değişikliği ile ilgili bildirim yükümlülüğünü 30 gün içinde yerine getirmemesi halinde bir yıl,</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süreyle</w:t>
                        </w:r>
                        <w:proofErr w:type="gramEnd"/>
                        <w:r w:rsidRPr="00611F9D">
                          <w:rPr>
                            <w:rFonts w:ascii="Calibri" w:eastAsia="Times New Roman" w:hAnsi="Calibri" w:cs="Calibri"/>
                            <w:lang w:eastAsia="tr-TR"/>
                          </w:rPr>
                          <w:t xml:space="preserve"> ilgili merkez veya şubeye verilen yetki belgesinin geçerliliği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yetki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a)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maddede istenen başvuru evraklarından herhangi birinin gerçeğe aykırılığının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Bir vize döneminde üç defa askıya alınması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Belgesinin geçerliliğinin askıda olduğu süre içinde sözleşme yaptığının veya hizmet verdiğinin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doğrudan</w:t>
                        </w:r>
                        <w:proofErr w:type="gramEnd"/>
                        <w:r w:rsidRPr="00611F9D">
                          <w:rPr>
                            <w:rFonts w:ascii="Calibri" w:eastAsia="Times New Roman" w:hAnsi="Calibri" w:cs="Calibri"/>
                            <w:lang w:eastAsia="tr-TR"/>
                          </w:rPr>
                          <w:t xml:space="preserve">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Yetki belgesi iptal edilen OSGB ve şubelerinin kurucu veya ortaklarının, iptal tarihinden itibaren iki yıl içerisinde yaptığı başvurular; iki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Belgesinin geçerliliği askıya alınanlar veya iptal edilenlere Genel Müdürlükçe yazılı bildirim yapılır ve internet sayfasında ilan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Yetki belgesinin iptali veya geçerliliğinin askıya alınması durumunda önceden yapılan hizmet ve iş sözleşmelerinden doğan hukuki sonuçlardan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Bu Yönetmelik uyarınca kurumlara uygulanan yetki belgesinin askıya alınma veya iptaline </w:t>
                        </w:r>
                        <w:r w:rsidRPr="00611F9D">
                          <w:rPr>
                            <w:rFonts w:ascii="Calibri" w:eastAsia="Times New Roman" w:hAnsi="Calibri" w:cs="Calibri"/>
                            <w:lang w:eastAsia="tr-TR"/>
                          </w:rPr>
                          <w:lastRenderedPageBreak/>
                          <w:t>ilişkin işlemlere itirazlar, işlemlerin tebliğ tarihinden itibaren en geç on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İtiraz komisyonunun çalışma şekli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22/A – (</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Yürürlükten kaldırılan yönetmelik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23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Gazete’de yayımlanan İş Sağlığı ve Güvenliği Hizmetleri Yönetmeliği yürürlükten kaldırılmıştır.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tebligat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EK MADDE 1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b/>
                            <w:bCs/>
                            <w:vertAlign w:val="superscript"/>
                            <w:lang w:eastAsia="tr-TR"/>
                          </w:rPr>
                          <w:t>(1)</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Elektronik Tebligat Yönetmeliği kapsamındaki şirketler ve kurumlar, bu Yönetmeliğin 16, 17, 20, 21 ve 22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maddelerine göre yapılacak tebligatlara esas olmak üzere elektronik tebligat adresini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sistemine kaydettirmek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xml:space="preserve">Mevcut </w:t>
                        </w: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durumu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1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Mevcut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onaylanmış yerleşim planında değişiklik olması halinde, fiziki şartların bu Yönetmelik hükümlerine uygun olması şartı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50’den fazla çalışanı bulunan kamu kurumları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2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Gazete’de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ortamlarda başvuru işlemleri ve geçiş hükümleri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3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Bu maddenin yürürlüğe girdiği tarihten önce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 hükümleri kapsamında yapılmış ve sonuçlandırılmamış OSGB ve TSMB başvurularında bu Yönetmelikte belirtilen şartlar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maddenin onuncu fıkrası kapsamındaki adres ve unvan değişikliği başvuruları ile 13 üncü maddenin yedinci fıkrasına göre sorumlu müdür değişikliği ile ilgili bildirimler,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gerekli düzenlemeler tamamlanıp ilân edilinceye kadar Genel Müdürlüğe yazılı olarak yapılmaya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24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30/12/2012</w:t>
                        </w:r>
                        <w:proofErr w:type="gramEnd"/>
                        <w:r w:rsidRPr="00611F9D">
                          <w:rPr>
                            <w:rFonts w:ascii="Calibri" w:eastAsia="Times New Roman" w:hAnsi="Calibri" w:cs="Calibri"/>
                            <w:lang w:eastAsia="tr-TR"/>
                          </w:rPr>
                          <w:t xml:space="preserve"> tarihinde yürürlüğe girer.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Yürütme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25 –</w:t>
                        </w:r>
                        <w:r w:rsidRPr="00611F9D">
                          <w:rPr>
                            <w:rFonts w:ascii="Calibri" w:eastAsia="Times New Roman" w:hAnsi="Calibri" w:cs="Calibri"/>
                            <w:lang w:eastAsia="tr-TR"/>
                          </w:rPr>
                          <w:t> (1) Bu Yönetmelik hükümlerini Çalışma ve Sosyal Güvenlik Bakanı yürütür.</w:t>
                        </w:r>
                      </w:p>
                      <w:p w:rsidR="00611F9D" w:rsidRPr="00611F9D" w:rsidRDefault="00611F9D" w:rsidP="00611F9D">
                        <w:pPr>
                          <w:spacing w:after="0" w:line="240" w:lineRule="auto"/>
                          <w:ind w:firstLine="567"/>
                          <w:rPr>
                            <w:rFonts w:ascii="Times New Roman" w:eastAsia="Times New Roman" w:hAnsi="Times New Roman" w:cs="Times New Roman"/>
                            <w:sz w:val="24"/>
                            <w:szCs w:val="24"/>
                            <w:lang w:eastAsia="tr-TR"/>
                          </w:rPr>
                        </w:pPr>
                        <w:r w:rsidRPr="00611F9D">
                          <w:rPr>
                            <w:rFonts w:ascii="Times New Roman" w:eastAsia="Times New Roman" w:hAnsi="Times New Roman" w:cs="Times New Roman"/>
                            <w:b/>
                            <w:bCs/>
                            <w:sz w:val="24"/>
                            <w:szCs w:val="24"/>
                            <w:lang w:eastAsia="tr-TR"/>
                          </w:rPr>
                          <w:t> </w:t>
                        </w:r>
                      </w:p>
                      <w:p w:rsidR="00611F9D" w:rsidRPr="00611F9D" w:rsidRDefault="00DD5F53" w:rsidP="00611F9D">
                        <w:pPr>
                          <w:spacing w:after="0" w:line="240" w:lineRule="auto"/>
                          <w:ind w:firstLine="567"/>
                          <w:rPr>
                            <w:rFonts w:ascii="Times New Roman" w:eastAsia="Times New Roman" w:hAnsi="Times New Roman" w:cs="Times New Roman"/>
                            <w:sz w:val="24"/>
                            <w:szCs w:val="24"/>
                            <w:lang w:eastAsia="tr-TR"/>
                          </w:rPr>
                        </w:pPr>
                        <w:hyperlink r:id="rId18" w:history="1">
                          <w:r w:rsidR="00611F9D" w:rsidRPr="00611F9D">
                            <w:rPr>
                              <w:rFonts w:ascii="Lucida Sans Unicode" w:eastAsia="Times New Roman" w:hAnsi="Lucida Sans Unicode" w:cs="Lucida Sans Unicode"/>
                              <w:color w:val="000000"/>
                              <w:sz w:val="15"/>
                              <w:szCs w:val="15"/>
                              <w:lang w:eastAsia="tr-TR"/>
                            </w:rPr>
                            <w:t>Yönetmeliğin ekleri için tıklayınız</w:t>
                          </w:r>
                        </w:hyperlink>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____________</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vertAlign w:val="superscript"/>
                            <w:lang w:eastAsia="tr-TR"/>
                          </w:rPr>
                          <w:t>(1)</w:t>
                        </w:r>
                        <w:r w:rsidRPr="00611F9D">
                          <w:rPr>
                            <w:rFonts w:ascii="Calibri" w:eastAsia="Times New Roman" w:hAnsi="Calibri" w:cs="Calibri"/>
                            <w:lang w:eastAsia="tr-TR"/>
                          </w:rPr>
                          <w:t> </w:t>
                        </w:r>
                        <w:proofErr w:type="gramStart"/>
                        <w:r w:rsidRPr="00611F9D">
                          <w:rPr>
                            <w:rFonts w:ascii="Calibri" w:eastAsia="Times New Roman" w:hAnsi="Calibri" w:cs="Calibri"/>
                            <w:i/>
                            <w:iCs/>
                            <w:sz w:val="20"/>
                            <w:szCs w:val="20"/>
                            <w:lang w:eastAsia="tr-TR"/>
                          </w:rPr>
                          <w:t>18/12/2014</w:t>
                        </w:r>
                        <w:proofErr w:type="gramEnd"/>
                        <w:r w:rsidRPr="00611F9D">
                          <w:rPr>
                            <w:rFonts w:ascii="Calibri" w:eastAsia="Times New Roman" w:hAnsi="Calibri" w:cs="Calibri"/>
                            <w:i/>
                            <w:iCs/>
                            <w:sz w:val="20"/>
                            <w:szCs w:val="20"/>
                            <w:lang w:eastAsia="tr-TR"/>
                          </w:rPr>
                          <w:t xml:space="preserve"> tarihli ve 29209 sayılı Resmi Gazete’de Yayımlanan Yönetmelik değişikliği ile eklenen  Ek 1 inci maddesi yayımı tarihinden itibaren üç ay sonra yürürlüğe girer.</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tblPr>
                        <w:tblGrid>
                          <w:gridCol w:w="700"/>
                          <w:gridCol w:w="3600"/>
                          <w:gridCol w:w="3600"/>
                        </w:tblGrid>
                        <w:tr w:rsidR="00611F9D" w:rsidRPr="00611F9D" w:rsidTr="00611F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Yönetmeliğin Yayımlandığı Resmî Gazete’nin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29/12/2012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28512</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Yönetmelikte Değişiklik Yapan Yönetmeliklerin Yayımlandığı Resmî Gazetelerin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31/1/2013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28545</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29209</w:t>
                              </w: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jc w:val="right"/>
                          <w:rPr>
                            <w:rFonts w:ascii="Times New Roman" w:eastAsia="Times New Roman" w:hAnsi="Times New Roman" w:cs="Times New Roman"/>
                            <w:b/>
                            <w:bCs/>
                            <w:color w:val="808080"/>
                            <w:sz w:val="24"/>
                            <w:szCs w:val="24"/>
                            <w:lang w:eastAsia="tr-TR"/>
                          </w:rPr>
                        </w:pPr>
                        <w:r w:rsidRPr="00611F9D">
                          <w:rPr>
                            <w:rFonts w:ascii="Times New Roman" w:eastAsia="Times New Roman" w:hAnsi="Times New Roman" w:cs="Times New Roman"/>
                            <w:b/>
                            <w:bCs/>
                            <w:color w:val="808080"/>
                            <w:sz w:val="24"/>
                            <w:szCs w:val="24"/>
                            <w:lang w:eastAsia="tr-TR"/>
                          </w:rPr>
                          <w:t>Sayfa</w:t>
                        </w:r>
                      </w:p>
                    </w:tc>
                  </w:tr>
                </w:tbl>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r w:rsidR="00611F9D" w:rsidRPr="00611F9D" w:rsidTr="00611F9D">
        <w:tblPrEx>
          <w:shd w:val="clear" w:color="auto" w:fill="E6E6E6"/>
        </w:tblPrEx>
        <w:trPr>
          <w:gridAfter w:val="23"/>
          <w:wAfter w:w="14304" w:type="dxa"/>
          <w:tblCellSpacing w:w="0" w:type="dxa"/>
        </w:trPr>
        <w:tc>
          <w:tcPr>
            <w:tcW w:w="0" w:type="auto"/>
            <w:shd w:val="clear" w:color="auto" w:fill="E6E6E6"/>
            <w:vAlign w:val="center"/>
            <w:hideMark/>
          </w:tcPr>
          <w:p w:rsidR="00611F9D" w:rsidRPr="00611F9D" w:rsidRDefault="00611F9D" w:rsidP="00611F9D">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bookmarkStart w:id="0" w:name="_GoBack"/>
      <w:bookmarkEnd w:id="0"/>
    </w:p>
    <w:sectPr w:rsidR="00045049" w:rsidSect="00DD5F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F9D"/>
    <w:rsid w:val="00045049"/>
    <w:rsid w:val="00611F9D"/>
    <w:rsid w:val="008759B4"/>
    <w:rsid w:val="00DD5F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59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5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4513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093">
          <w:marLeft w:val="0"/>
          <w:marRight w:val="0"/>
          <w:marTop w:val="100"/>
          <w:marBottom w:val="100"/>
          <w:divBdr>
            <w:top w:val="none" w:sz="0" w:space="0" w:color="auto"/>
            <w:left w:val="none" w:sz="0" w:space="0" w:color="auto"/>
            <w:bottom w:val="none" w:sz="0" w:space="0" w:color="auto"/>
            <w:right w:val="none" w:sz="0" w:space="0" w:color="auto"/>
          </w:divBdr>
          <w:divsChild>
            <w:div w:id="1691832649">
              <w:marLeft w:val="0"/>
              <w:marRight w:val="0"/>
              <w:marTop w:val="0"/>
              <w:marBottom w:val="0"/>
              <w:divBdr>
                <w:top w:val="none" w:sz="0" w:space="0" w:color="auto"/>
                <w:left w:val="none" w:sz="0" w:space="0" w:color="auto"/>
                <w:bottom w:val="none" w:sz="0" w:space="0" w:color="auto"/>
                <w:right w:val="none" w:sz="0" w:space="0" w:color="auto"/>
              </w:divBdr>
              <w:divsChild>
                <w:div w:id="137496511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72268341">
              <w:marLeft w:val="0"/>
              <w:marRight w:val="0"/>
              <w:marTop w:val="0"/>
              <w:marBottom w:val="0"/>
              <w:divBdr>
                <w:top w:val="none" w:sz="0" w:space="0" w:color="auto"/>
                <w:left w:val="none" w:sz="0" w:space="0" w:color="auto"/>
                <w:bottom w:val="none" w:sz="0" w:space="0" w:color="auto"/>
                <w:right w:val="none" w:sz="0" w:space="0" w:color="auto"/>
              </w:divBdr>
            </w:div>
            <w:div w:id="217061396">
              <w:marLeft w:val="0"/>
              <w:marRight w:val="0"/>
              <w:marTop w:val="0"/>
              <w:marBottom w:val="0"/>
              <w:divBdr>
                <w:top w:val="none" w:sz="0" w:space="0" w:color="auto"/>
                <w:left w:val="none" w:sz="0" w:space="0" w:color="auto"/>
                <w:bottom w:val="none" w:sz="0" w:space="0" w:color="auto"/>
                <w:right w:val="none" w:sz="0" w:space="0" w:color="auto"/>
              </w:divBdr>
              <w:divsChild>
                <w:div w:id="636841515">
                  <w:marLeft w:val="0"/>
                  <w:marRight w:val="0"/>
                  <w:marTop w:val="0"/>
                  <w:marBottom w:val="0"/>
                  <w:divBdr>
                    <w:top w:val="none" w:sz="0" w:space="0" w:color="auto"/>
                    <w:left w:val="none" w:sz="0" w:space="0" w:color="auto"/>
                    <w:bottom w:val="none" w:sz="0" w:space="0" w:color="auto"/>
                    <w:right w:val="none" w:sz="0" w:space="0" w:color="auto"/>
                  </w:divBdr>
                  <w:divsChild>
                    <w:div w:id="7609540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basbakanlik.gov.tr/Default.aspx" TargetMode="External"/><Relationship Id="rId13" Type="http://schemas.openxmlformats.org/officeDocument/2006/relationships/hyperlink" Target="http://mevzuat.basbakanlik.gov.tr/p_KulliyatFihrist.aspx" TargetMode="External"/><Relationship Id="rId18" Type="http://schemas.openxmlformats.org/officeDocument/2006/relationships/hyperlink" Target="http://www.mevzuat.gov.tr/MevzuatMetin/yonetmelik/7.5.16924-ek.docx"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mevzuat.basbakanlik.gov.tr/Metin.Aspx?MevzuatKod=7.5.16924&amp;MevzuatIliski=0&amp;sourceXmlSearch=" TargetMode="External"/><Relationship Id="rId1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hyperlink" Target="http://mevzuat.basbakanlik.gov.tr/Iletisim.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vzuat.basbakanlik.gov.tr/Metin.Aspx?MevzuatKod=7.5.16924&amp;MevzuatIliski=0&amp;sourceXmlSearch=#ctl00_Menu1_SkipLink" TargetMode="External"/><Relationship Id="rId11" Type="http://schemas.openxmlformats.org/officeDocument/2006/relationships/hyperlink" Target="javascript:var%20w=window.open('http://rega.basbakanlik.gov.tr/','_blank');" TargetMode="External"/><Relationship Id="rId5" Type="http://schemas.openxmlformats.org/officeDocument/2006/relationships/hyperlink" Target="http://mevzuat.basbakanlik.gov.tr/Login.aspx" TargetMode="External"/><Relationship Id="rId15" Type="http://schemas.openxmlformats.org/officeDocument/2006/relationships/hyperlink" Target="http://mevzuat.basbakanlik.gov.tr/Metin.Aspx?MevzuatKod=7.5.16924&amp;MevzuatIliski=0&amp;sourceXmlSearch="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mevzuat.basbakanlik.gov.tr/Metin.Aspx?MevzuatKod=7.5.16924&amp;MevzuatIliski=0&amp;sourceXmlSearch=" TargetMode="External"/><Relationship Id="rId14" Type="http://schemas.openxmlformats.org/officeDocument/2006/relationships/hyperlink" Target="http://mevzuat.basbakanlik.gov.tr/Metin.Aspx?MevzuatKod=7.5.16924&amp;MevzuatIliski=0&amp;sourceXmlSearc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6253</Words>
  <Characters>35647</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rc</cp:lastModifiedBy>
  <cp:revision>2</cp:revision>
  <dcterms:created xsi:type="dcterms:W3CDTF">2015-12-22T11:48:00Z</dcterms:created>
  <dcterms:modified xsi:type="dcterms:W3CDTF">2015-12-22T11:48:00Z</dcterms:modified>
</cp:coreProperties>
</file>